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CB3C" w14:textId="45A71F6D" w:rsidR="005C0956" w:rsidRDefault="00C359D7">
      <w:r>
        <w:rPr>
          <w:noProof/>
        </w:rPr>
        <w:drawing>
          <wp:inline distT="0" distB="0" distL="0" distR="0" wp14:anchorId="376D737D" wp14:editId="4C88732C">
            <wp:extent cx="5760720" cy="4130675"/>
            <wp:effectExtent l="0" t="0" r="0" b="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9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D7"/>
    <w:rsid w:val="005C0956"/>
    <w:rsid w:val="00C3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4DD9"/>
  <w15:chartTrackingRefBased/>
  <w15:docId w15:val="{1A23EEBC-DFB8-45AE-908C-1B57B4AB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Mauser, Georg sen</dc:creator>
  <cp:keywords/>
  <dc:description/>
  <cp:lastModifiedBy>Mauser, Georg sen</cp:lastModifiedBy>
  <cp:revision>2</cp:revision>
  <dcterms:created xsi:type="dcterms:W3CDTF">2022-04-15T14:17:00Z</dcterms:created>
  <dcterms:modified xsi:type="dcterms:W3CDTF">2022-04-15T14:17:00Z</dcterms:modified>
</cp:coreProperties>
</file>